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2E" w:rsidRPr="00A4692E" w:rsidRDefault="00A4692E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 Antiqua" w:eastAsia="Times New Roman" w:hAnsi="Book Antiqua"/>
          <w:b/>
          <w:bCs/>
          <w:sz w:val="28"/>
          <w:szCs w:val="28"/>
          <w:bdr w:val="none" w:sz="0" w:space="0" w:color="auto"/>
          <w:lang w:val="pt-PT" w:eastAsia="pt-PT"/>
        </w:rPr>
      </w:pPr>
      <w:r w:rsidRPr="00A4692E">
        <w:rPr>
          <w:rFonts w:ascii="Book Antiqua" w:eastAsia="Times New Roman" w:hAnsi="Book Antiqua"/>
          <w:b/>
          <w:bCs/>
          <w:sz w:val="28"/>
          <w:szCs w:val="28"/>
          <w:bdr w:val="none" w:sz="0" w:space="0" w:color="auto"/>
          <w:lang w:val="pt-PT" w:eastAsia="pt-PT"/>
        </w:rPr>
        <w:t xml:space="preserve">III REUNIÃO DE MINISTROS DA SAÚDE </w:t>
      </w:r>
    </w:p>
    <w:p w:rsidR="00A4692E" w:rsidRPr="00A4692E" w:rsidRDefault="00A4692E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 Antiqua" w:hAnsi="Book Antiqua"/>
          <w:b/>
          <w:bCs/>
          <w:sz w:val="28"/>
          <w:szCs w:val="28"/>
          <w:bdr w:val="none" w:sz="0" w:space="0" w:color="auto"/>
          <w:lang w:val="pt-PT" w:eastAsia="pt-PT"/>
        </w:rPr>
      </w:pPr>
      <w:r w:rsidRPr="00A4692E">
        <w:rPr>
          <w:rFonts w:ascii="Book Antiqua" w:eastAsia="Times New Roman" w:hAnsi="Book Antiqua"/>
          <w:b/>
          <w:bCs/>
          <w:sz w:val="28"/>
          <w:szCs w:val="28"/>
          <w:bdr w:val="none" w:sz="0" w:space="0" w:color="auto"/>
          <w:lang w:val="pt-PT" w:eastAsia="pt-PT"/>
        </w:rPr>
        <w:t>DA COMUNIDADE DOS PAÍSES DE LÍNGUA PORTUGUESA</w:t>
      </w:r>
    </w:p>
    <w:p w:rsidR="00A4692E" w:rsidRPr="00A4692E" w:rsidRDefault="00A4692E" w:rsidP="00A4692E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3"/>
        <w:rPr>
          <w:rFonts w:ascii="Book Antiqua" w:eastAsia="Times New Roman" w:hAnsi="Book Antiqua"/>
          <w:b/>
          <w:bCs/>
          <w:szCs w:val="20"/>
          <w:bdr w:val="none" w:sz="0" w:space="0" w:color="auto"/>
          <w:lang w:val="pt-PT" w:eastAsia="pt-PT"/>
        </w:rPr>
      </w:pPr>
    </w:p>
    <w:p w:rsidR="00A4692E" w:rsidRPr="00A4692E" w:rsidRDefault="00A4692E" w:rsidP="00A4692E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3"/>
        <w:rPr>
          <w:rFonts w:ascii="Book Antiqua" w:eastAsia="Times New Roman" w:hAnsi="Book Antiqua"/>
          <w:b/>
          <w:bCs/>
          <w:szCs w:val="20"/>
          <w:bdr w:val="none" w:sz="0" w:space="0" w:color="auto"/>
          <w:lang w:val="pt-PT" w:eastAsia="pt-PT"/>
        </w:rPr>
      </w:pPr>
      <w:r w:rsidRPr="00A4692E">
        <w:rPr>
          <w:rFonts w:ascii="Book Antiqua" w:eastAsia="Times New Roman" w:hAnsi="Book Antiqua"/>
          <w:b/>
          <w:bCs/>
          <w:szCs w:val="20"/>
          <w:bdr w:val="none" w:sz="0" w:space="0" w:color="auto"/>
          <w:lang w:val="pt-PT" w:eastAsia="pt-PT"/>
        </w:rPr>
        <w:t>Maputo, 12 de Fevereiro de 2014</w:t>
      </w:r>
    </w:p>
    <w:p w:rsidR="00A4692E" w:rsidRPr="00A4692E" w:rsidRDefault="00A4692E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sz w:val="20"/>
          <w:szCs w:val="20"/>
          <w:bdr w:val="none" w:sz="0" w:space="0" w:color="auto"/>
          <w:lang w:val="pt-PT" w:eastAsia="pt-PT"/>
        </w:rPr>
      </w:pPr>
    </w:p>
    <w:p w:rsidR="00A4692E" w:rsidRPr="00A4692E" w:rsidRDefault="00A4692E" w:rsidP="00A4692E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0"/>
        <w:rPr>
          <w:rFonts w:eastAsia="Times New Roman"/>
          <w:bdr w:val="none" w:sz="0" w:space="0" w:color="auto"/>
          <w:lang w:val="pt-PT" w:eastAsia="pt-PT"/>
        </w:rPr>
      </w:pPr>
      <w:bookmarkStart w:id="0" w:name="_GoBack"/>
      <w:bookmarkEnd w:id="0"/>
    </w:p>
    <w:p w:rsidR="00A4692E" w:rsidRPr="00A4692E" w:rsidRDefault="00A4692E" w:rsidP="00A4692E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center"/>
        <w:outlineLvl w:val="0"/>
        <w:rPr>
          <w:rFonts w:ascii="Book Antiqua" w:eastAsia="Times New Roman" w:hAnsi="Book Antiqua"/>
          <w:b/>
          <w:bCs/>
          <w:bdr w:val="none" w:sz="0" w:space="0" w:color="auto"/>
          <w:lang w:val="pt-PT" w:eastAsia="pt-PT"/>
        </w:rPr>
      </w:pPr>
      <w:r w:rsidRPr="00A4692E">
        <w:rPr>
          <w:rFonts w:ascii="Book Antiqua" w:eastAsia="Times New Roman" w:hAnsi="Book Antiqua"/>
          <w:b/>
          <w:bdr w:val="none" w:sz="0" w:space="0" w:color="auto"/>
          <w:lang w:val="pt-PT" w:eastAsia="pt-PT"/>
        </w:rPr>
        <w:t>Resolução sobre mecanismos de comunicação entre entidades responsáveis pela vigilância epidemiológica e resposta rápida a ameaças, epidemias e desastres</w:t>
      </w:r>
    </w:p>
    <w:p w:rsidR="00A4692E" w:rsidRPr="00A4692E" w:rsidRDefault="00A4692E" w:rsidP="00A4692E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center"/>
        <w:outlineLvl w:val="0"/>
        <w:rPr>
          <w:rFonts w:ascii="Book Antiqua" w:eastAsia="Times New Roman" w:hAnsi="Book Antiqua"/>
          <w:b/>
          <w:bCs/>
          <w:bdr w:val="none" w:sz="0" w:space="0" w:color="auto"/>
          <w:lang w:val="pt-PT" w:eastAsia="pt-PT"/>
        </w:rPr>
      </w:pPr>
    </w:p>
    <w:p w:rsidR="00A4692E" w:rsidRPr="00A4692E" w:rsidRDefault="00A4692E" w:rsidP="00A4692E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center"/>
        <w:outlineLvl w:val="0"/>
        <w:rPr>
          <w:rFonts w:ascii="Book Antiqua" w:eastAsia="Times New Roman" w:hAnsi="Book Antiqua"/>
          <w:b/>
          <w:bCs/>
          <w:bdr w:val="none" w:sz="0" w:space="0" w:color="auto"/>
          <w:lang w:val="pt-PT" w:eastAsia="pt-PT"/>
        </w:rPr>
      </w:pPr>
    </w:p>
    <w:p w:rsidR="00A4692E" w:rsidRPr="00A4692E" w:rsidRDefault="00A4692E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76"/>
        <w:jc w:val="both"/>
        <w:rPr>
          <w:rFonts w:ascii="Book Antiqua" w:eastAsia="Times New Roman" w:hAnsi="Book Antiqua"/>
          <w:bdr w:val="none" w:sz="0" w:space="0" w:color="auto"/>
          <w:lang w:val="pt-PT" w:eastAsia="pt-PT"/>
        </w:rPr>
      </w:pPr>
    </w:p>
    <w:p w:rsidR="00A4692E" w:rsidRPr="00A4692E" w:rsidRDefault="00A4692E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bdr w:val="none" w:sz="0" w:space="0" w:color="auto"/>
          <w:lang w:val="pt-PT" w:eastAsia="pt-PT"/>
        </w:rPr>
      </w:pPr>
      <w:r w:rsidRPr="00A4692E">
        <w:rPr>
          <w:rFonts w:ascii="Book Antiqua" w:eastAsia="Times New Roman" w:hAnsi="Book Antiqua"/>
          <w:bdr w:val="none" w:sz="0" w:space="0" w:color="auto"/>
          <w:lang w:val="pt-PT" w:eastAsia="pt-PT"/>
        </w:rPr>
        <w:t xml:space="preserve">As Ministras e os Ministros da Saúde dos Países da Comunidade de Língua Portuguesa (CPLP) ou seus representantes, reunidos em Maputo, Moçambique, de 10 a 12 de Fevereiro de 2014, durante a sua III Reunião Ordinária, com o objetivo de discutir o balanço, sustentabilidade e continuidade do Plano Estratégico de Cooperação em Saúde da CPLP (PECS/CPLP); </w:t>
      </w:r>
    </w:p>
    <w:p w:rsidR="00A4692E" w:rsidRPr="00A4692E" w:rsidRDefault="00A4692E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bdr w:val="none" w:sz="0" w:space="0" w:color="auto"/>
          <w:lang w:val="pt-PT" w:eastAsia="pt-PT"/>
        </w:rPr>
      </w:pPr>
    </w:p>
    <w:p w:rsidR="001273F7" w:rsidRDefault="00402D0B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bdr w:val="none" w:sz="0" w:space="0" w:color="auto"/>
          <w:lang w:val="pt-PT" w:eastAsia="pt-PT"/>
        </w:rPr>
      </w:pPr>
      <w:r w:rsidRPr="00A4692E">
        <w:rPr>
          <w:rFonts w:ascii="Book Antiqua" w:eastAsia="Times New Roman" w:hAnsi="Book Antiqua"/>
          <w:i/>
          <w:bdr w:val="none" w:sz="0" w:space="0" w:color="auto"/>
          <w:lang w:val="pt-PT" w:eastAsia="pt-PT"/>
        </w:rPr>
        <w:t>Considerando</w:t>
      </w:r>
      <w:r w:rsidRPr="00A4692E">
        <w:rPr>
          <w:rFonts w:ascii="Book Antiqua" w:eastAsia="Times New Roman" w:hAnsi="Book Antiqua"/>
          <w:bdr w:val="none" w:sz="0" w:space="0" w:color="auto"/>
          <w:lang w:val="pt-PT" w:eastAsia="pt-PT"/>
        </w:rPr>
        <w:t xml:space="preserve"> os desafios atuais da saúde pública, aliados à globalização e à emergência de novas doenças e a necessidade de reforçar os mecanismos de vigilância epidemiológica, deteção precoce e resposta rápida a emergências de saúde pública </w:t>
      </w:r>
      <w:r w:rsidR="00A4692E">
        <w:rPr>
          <w:rFonts w:ascii="Book Antiqua" w:eastAsia="Times New Roman" w:hAnsi="Book Antiqua"/>
          <w:bdr w:val="none" w:sz="0" w:space="0" w:color="auto"/>
          <w:lang w:val="pt-PT" w:eastAsia="pt-PT"/>
        </w:rPr>
        <w:t>na CPLP</w:t>
      </w:r>
      <w:r w:rsidRPr="00A4692E">
        <w:rPr>
          <w:rFonts w:ascii="Book Antiqua" w:eastAsia="Times New Roman" w:hAnsi="Book Antiqua"/>
          <w:bdr w:val="none" w:sz="0" w:space="0" w:color="auto"/>
          <w:lang w:val="pt-PT" w:eastAsia="pt-PT"/>
        </w:rPr>
        <w:t xml:space="preserve">; </w:t>
      </w:r>
    </w:p>
    <w:p w:rsidR="00A4692E" w:rsidRPr="00A4692E" w:rsidRDefault="00A4692E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bdr w:val="none" w:sz="0" w:space="0" w:color="auto"/>
          <w:lang w:val="pt-PT" w:eastAsia="pt-PT"/>
        </w:rPr>
      </w:pPr>
    </w:p>
    <w:p w:rsidR="001273F7" w:rsidRDefault="00402D0B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bdr w:val="none" w:sz="0" w:space="0" w:color="auto"/>
          <w:lang w:val="pt-PT" w:eastAsia="pt-PT"/>
        </w:rPr>
      </w:pPr>
      <w:r w:rsidRPr="00A4692E">
        <w:rPr>
          <w:rFonts w:ascii="Book Antiqua" w:eastAsia="Times New Roman" w:hAnsi="Book Antiqua"/>
          <w:i/>
          <w:bdr w:val="none" w:sz="0" w:space="0" w:color="auto"/>
          <w:lang w:val="pt-PT" w:eastAsia="pt-PT"/>
        </w:rPr>
        <w:t>Tendo em conta</w:t>
      </w:r>
      <w:r w:rsidRPr="00A4692E">
        <w:rPr>
          <w:rFonts w:ascii="Book Antiqua" w:eastAsia="Times New Roman" w:hAnsi="Book Antiqua"/>
          <w:bdr w:val="none" w:sz="0" w:space="0" w:color="auto"/>
          <w:lang w:val="pt-PT" w:eastAsia="pt-PT"/>
        </w:rPr>
        <w:t xml:space="preserve"> a importância de conjugar esforços e dinamizar parcerias que facilitem a troca de informação e a comunicação rápida e eficaz no controlo de doenças e na implementação de medidas de saúde pública adequadas;</w:t>
      </w:r>
    </w:p>
    <w:p w:rsidR="00A4692E" w:rsidRPr="00A4692E" w:rsidRDefault="00A4692E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bdr w:val="none" w:sz="0" w:space="0" w:color="auto"/>
          <w:lang w:val="pt-PT" w:eastAsia="pt-PT"/>
        </w:rPr>
      </w:pPr>
    </w:p>
    <w:p w:rsidR="001273F7" w:rsidRDefault="00402D0B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bdr w:val="none" w:sz="0" w:space="0" w:color="auto"/>
          <w:lang w:val="pt-PT" w:eastAsia="pt-PT"/>
        </w:rPr>
      </w:pPr>
      <w:r w:rsidRPr="00A4692E">
        <w:rPr>
          <w:rFonts w:ascii="Book Antiqua" w:eastAsia="Times New Roman" w:hAnsi="Book Antiqua"/>
          <w:i/>
          <w:bdr w:val="none" w:sz="0" w:space="0" w:color="auto"/>
          <w:lang w:val="pt-PT" w:eastAsia="pt-PT"/>
        </w:rPr>
        <w:t>Reconhecendo</w:t>
      </w:r>
      <w:r w:rsidRPr="00A4692E">
        <w:rPr>
          <w:rFonts w:ascii="Book Antiqua" w:eastAsia="Times New Roman" w:hAnsi="Book Antiqua"/>
          <w:bdr w:val="none" w:sz="0" w:space="0" w:color="auto"/>
          <w:lang w:val="pt-PT" w:eastAsia="pt-PT"/>
        </w:rPr>
        <w:t xml:space="preserve"> as obrigações e as responsabilidades dos países no âmbito do Regulamento Sanitário Internacional e a importância da </w:t>
      </w:r>
      <w:proofErr w:type="spellStart"/>
      <w:r w:rsidRPr="00A4692E">
        <w:rPr>
          <w:rFonts w:ascii="Book Antiqua" w:eastAsia="Times New Roman" w:hAnsi="Book Antiqua"/>
          <w:bdr w:val="none" w:sz="0" w:space="0" w:color="auto"/>
          <w:lang w:val="pt-PT" w:eastAsia="pt-PT"/>
        </w:rPr>
        <w:t>interoperacionalidade</w:t>
      </w:r>
      <w:proofErr w:type="spellEnd"/>
      <w:r w:rsidRPr="00A4692E">
        <w:rPr>
          <w:rFonts w:ascii="Book Antiqua" w:eastAsia="Times New Roman" w:hAnsi="Book Antiqua"/>
          <w:bdr w:val="none" w:sz="0" w:space="0" w:color="auto"/>
          <w:lang w:val="pt-PT" w:eastAsia="pt-PT"/>
        </w:rPr>
        <w:t xml:space="preserve"> dos vários sistemas de alerta, quer de vigilância epidemiológica quer de monitorização de eventos; </w:t>
      </w:r>
    </w:p>
    <w:p w:rsidR="00A4692E" w:rsidRPr="00A4692E" w:rsidRDefault="00A4692E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bdr w:val="none" w:sz="0" w:space="0" w:color="auto"/>
          <w:lang w:val="pt-PT" w:eastAsia="pt-PT"/>
        </w:rPr>
      </w:pPr>
    </w:p>
    <w:p w:rsidR="001273F7" w:rsidRPr="00A4692E" w:rsidRDefault="00402D0B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bdr w:val="none" w:sz="0" w:space="0" w:color="auto"/>
          <w:lang w:val="pt-PT" w:eastAsia="pt-PT"/>
        </w:rPr>
      </w:pPr>
      <w:r w:rsidRPr="00A4692E">
        <w:rPr>
          <w:rFonts w:ascii="Book Antiqua" w:eastAsia="Times New Roman" w:hAnsi="Book Antiqua"/>
          <w:i/>
          <w:bdr w:val="none" w:sz="0" w:space="0" w:color="auto"/>
          <w:lang w:val="pt-PT" w:eastAsia="pt-PT"/>
        </w:rPr>
        <w:t>Sabendo</w:t>
      </w:r>
      <w:r w:rsidRPr="00A4692E">
        <w:rPr>
          <w:rFonts w:ascii="Book Antiqua" w:eastAsia="Times New Roman" w:hAnsi="Book Antiqua"/>
          <w:bdr w:val="none" w:sz="0" w:space="0" w:color="auto"/>
          <w:lang w:val="pt-PT" w:eastAsia="pt-PT"/>
        </w:rPr>
        <w:t xml:space="preserve"> da importância da coordenação de respostas multinacionais em situações de ameaças transfronteiriças;</w:t>
      </w:r>
    </w:p>
    <w:p w:rsidR="001273F7" w:rsidRPr="00A4692E" w:rsidRDefault="00402D0B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bdr w:val="none" w:sz="0" w:space="0" w:color="auto"/>
          <w:lang w:val="pt-PT" w:eastAsia="pt-PT"/>
        </w:rPr>
      </w:pPr>
      <w:r w:rsidRPr="00A4692E">
        <w:rPr>
          <w:rFonts w:ascii="Book Antiqua" w:eastAsia="Times New Roman" w:hAnsi="Book Antiqua"/>
          <w:bdr w:val="none" w:sz="0" w:space="0" w:color="auto"/>
          <w:lang w:val="pt-PT" w:eastAsia="pt-PT"/>
        </w:rPr>
        <w:t xml:space="preserve">Considerando a vantagem conferida pelo uso comum da língua portuguesa na troca de informação em saúde; </w:t>
      </w:r>
    </w:p>
    <w:p w:rsidR="001273F7" w:rsidRPr="00A4692E" w:rsidRDefault="001273F7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bdr w:val="none" w:sz="0" w:space="0" w:color="auto"/>
          <w:lang w:val="pt-PT" w:eastAsia="pt-PT"/>
        </w:rPr>
      </w:pPr>
    </w:p>
    <w:p w:rsidR="00A4692E" w:rsidRDefault="00A4692E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bdr w:val="none" w:sz="0" w:space="0" w:color="auto"/>
          <w:lang w:val="pt-PT" w:eastAsia="pt-PT"/>
        </w:rPr>
      </w:pPr>
    </w:p>
    <w:p w:rsidR="00A4692E" w:rsidRPr="00A4692E" w:rsidRDefault="00A4692E" w:rsidP="00A4692E">
      <w:pPr>
        <w:rPr>
          <w:rFonts w:ascii="Book Antiqua" w:eastAsia="Times New Roman" w:hAnsi="Book Antiqua"/>
          <w:b/>
          <w:bdr w:val="none" w:sz="0" w:space="0" w:color="auto"/>
          <w:lang w:val="pt-PT" w:eastAsia="pt-PT"/>
        </w:rPr>
      </w:pPr>
      <w:r w:rsidRPr="00A4692E">
        <w:rPr>
          <w:rFonts w:ascii="Book Antiqua" w:eastAsia="Times New Roman" w:hAnsi="Book Antiqua"/>
          <w:b/>
          <w:bdr w:val="none" w:sz="0" w:space="0" w:color="auto"/>
          <w:lang w:val="pt-PT" w:eastAsia="pt-PT"/>
        </w:rPr>
        <w:t>DECIDEM:</w:t>
      </w:r>
    </w:p>
    <w:p w:rsidR="00A4692E" w:rsidRPr="00A4692E" w:rsidRDefault="00A4692E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bdr w:val="none" w:sz="0" w:space="0" w:color="auto"/>
          <w:lang w:val="pt-PT" w:eastAsia="pt-PT"/>
        </w:rPr>
      </w:pPr>
    </w:p>
    <w:p w:rsidR="001273F7" w:rsidRDefault="00402D0B" w:rsidP="00CF00CA">
      <w:pPr>
        <w:pStyle w:val="Pargrafoda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20"/>
        <w:jc w:val="both"/>
        <w:rPr>
          <w:rFonts w:ascii="Book Antiqua" w:eastAsia="Times New Roman" w:hAnsi="Book Antiqua"/>
          <w:sz w:val="24"/>
          <w:szCs w:val="24"/>
          <w:bdr w:val="none" w:sz="0" w:space="0" w:color="auto"/>
        </w:rPr>
      </w:pPr>
      <w:r w:rsidRPr="00A4692E">
        <w:rPr>
          <w:rFonts w:ascii="Book Antiqua" w:eastAsia="Times New Roman" w:hAnsi="Book Antiqua"/>
          <w:i/>
          <w:sz w:val="24"/>
          <w:szCs w:val="24"/>
          <w:bdr w:val="none" w:sz="0" w:space="0" w:color="auto"/>
        </w:rPr>
        <w:t>Reforçar</w:t>
      </w:r>
      <w:r w:rsidRPr="00A4692E">
        <w:rPr>
          <w:rFonts w:ascii="Book Antiqua" w:eastAsia="Times New Roman" w:hAnsi="Book Antiqua"/>
          <w:sz w:val="24"/>
          <w:szCs w:val="24"/>
          <w:bdr w:val="none" w:sz="0" w:space="0" w:color="auto"/>
        </w:rPr>
        <w:t xml:space="preserve"> a colaboração na troca de informação sobre eventos de saúde pública com implicações no mundo lusófono, incluindo a elaboração de normas e procedimentos inerentes aos mecanismos de vigilância epidemiológica e resposta rápida a ameaças, epidemias e desastres;</w:t>
      </w:r>
    </w:p>
    <w:p w:rsidR="00CF00CA" w:rsidRPr="00CF00CA" w:rsidRDefault="00CF00CA" w:rsidP="00CF0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20"/>
        <w:jc w:val="both"/>
        <w:rPr>
          <w:rFonts w:ascii="Book Antiqua" w:eastAsia="Times New Roman" w:hAnsi="Book Antiqua"/>
          <w:bdr w:val="none" w:sz="0" w:space="0" w:color="auto"/>
        </w:rPr>
      </w:pPr>
    </w:p>
    <w:p w:rsidR="001273F7" w:rsidRDefault="00402D0B" w:rsidP="00CF00CA">
      <w:pPr>
        <w:pStyle w:val="Pargrafoda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20"/>
        <w:jc w:val="both"/>
        <w:rPr>
          <w:rFonts w:ascii="Book Antiqua" w:eastAsia="Times New Roman" w:hAnsi="Book Antiqua"/>
          <w:sz w:val="24"/>
          <w:szCs w:val="24"/>
          <w:bdr w:val="none" w:sz="0" w:space="0" w:color="auto"/>
        </w:rPr>
      </w:pPr>
      <w:r w:rsidRPr="00A4692E">
        <w:rPr>
          <w:rFonts w:ascii="Book Antiqua" w:eastAsia="Times New Roman" w:hAnsi="Book Antiqua"/>
          <w:i/>
          <w:sz w:val="24"/>
          <w:szCs w:val="24"/>
          <w:bdr w:val="none" w:sz="0" w:space="0" w:color="auto"/>
        </w:rPr>
        <w:t xml:space="preserve">Reconhecer </w:t>
      </w:r>
      <w:r w:rsidRPr="00A4692E">
        <w:rPr>
          <w:rFonts w:ascii="Book Antiqua" w:eastAsia="Times New Roman" w:hAnsi="Book Antiqua"/>
          <w:sz w:val="24"/>
          <w:szCs w:val="24"/>
          <w:bdr w:val="none" w:sz="0" w:space="0" w:color="auto"/>
        </w:rPr>
        <w:t xml:space="preserve">a importância da articulação </w:t>
      </w:r>
      <w:r w:rsidR="00E36C17">
        <w:rPr>
          <w:rFonts w:ascii="Book Antiqua" w:eastAsia="Times New Roman" w:hAnsi="Book Antiqua"/>
          <w:sz w:val="24"/>
          <w:szCs w:val="24"/>
          <w:bdr w:val="none" w:sz="0" w:space="0" w:color="auto"/>
        </w:rPr>
        <w:t xml:space="preserve">entre as unidades incumbidas da </w:t>
      </w:r>
      <w:r w:rsidR="00CF00CA">
        <w:rPr>
          <w:rFonts w:ascii="Book Antiqua" w:eastAsia="Times New Roman" w:hAnsi="Book Antiqua"/>
          <w:sz w:val="24"/>
          <w:szCs w:val="24"/>
          <w:bdr w:val="none" w:sz="0" w:space="0" w:color="auto"/>
        </w:rPr>
        <w:t>gestão</w:t>
      </w:r>
      <w:r w:rsidR="00E36C17">
        <w:rPr>
          <w:rFonts w:ascii="Book Antiqua" w:eastAsia="Times New Roman" w:hAnsi="Book Antiqua"/>
          <w:sz w:val="24"/>
          <w:szCs w:val="24"/>
          <w:bdr w:val="none" w:sz="0" w:space="0" w:color="auto"/>
        </w:rPr>
        <w:t xml:space="preserve"> dos sistemas de </w:t>
      </w:r>
      <w:r w:rsidR="00CF00CA">
        <w:rPr>
          <w:rFonts w:ascii="Book Antiqua" w:eastAsia="Times New Roman" w:hAnsi="Book Antiqua"/>
          <w:sz w:val="24"/>
          <w:szCs w:val="24"/>
          <w:bdr w:val="none" w:sz="0" w:space="0" w:color="auto"/>
        </w:rPr>
        <w:t>vigilância</w:t>
      </w:r>
      <w:r w:rsidRPr="00A4692E">
        <w:rPr>
          <w:rFonts w:ascii="Book Antiqua" w:eastAsia="Times New Roman" w:hAnsi="Book Antiqua"/>
          <w:sz w:val="24"/>
          <w:szCs w:val="24"/>
          <w:bdr w:val="none" w:sz="0" w:space="0" w:color="auto"/>
        </w:rPr>
        <w:t xml:space="preserve"> da CPLP para identificar sinais de </w:t>
      </w:r>
      <w:r w:rsidRPr="00A4692E">
        <w:rPr>
          <w:rFonts w:ascii="Book Antiqua" w:eastAsia="Times New Roman" w:hAnsi="Book Antiqua"/>
          <w:sz w:val="24"/>
          <w:szCs w:val="24"/>
          <w:bdr w:val="none" w:sz="0" w:space="0" w:color="auto"/>
        </w:rPr>
        <w:lastRenderedPageBreak/>
        <w:t xml:space="preserve">alerta e ameaças à saúde pública, reforçando a rede já existente do Regulamento Sanitário Internacional e as redes no âmbito do PECS; </w:t>
      </w:r>
    </w:p>
    <w:p w:rsidR="00CF00CA" w:rsidRPr="00CF00CA" w:rsidRDefault="00CF00CA" w:rsidP="00CF00CA">
      <w:pPr>
        <w:pStyle w:val="PargrafodaLista"/>
        <w:spacing w:after="0"/>
        <w:rPr>
          <w:rFonts w:ascii="Book Antiqua" w:eastAsia="Times New Roman" w:hAnsi="Book Antiqua"/>
          <w:sz w:val="24"/>
          <w:szCs w:val="24"/>
          <w:bdr w:val="none" w:sz="0" w:space="0" w:color="auto"/>
        </w:rPr>
      </w:pPr>
    </w:p>
    <w:p w:rsidR="001273F7" w:rsidRDefault="00402D0B" w:rsidP="00CF00CA">
      <w:pPr>
        <w:pStyle w:val="Pargrafoda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20"/>
        <w:jc w:val="both"/>
        <w:rPr>
          <w:rFonts w:ascii="Book Antiqua" w:eastAsia="Times New Roman" w:hAnsi="Book Antiqua"/>
          <w:sz w:val="24"/>
          <w:szCs w:val="24"/>
          <w:bdr w:val="none" w:sz="0" w:space="0" w:color="auto"/>
        </w:rPr>
      </w:pPr>
      <w:r w:rsidRPr="00A4692E">
        <w:rPr>
          <w:rFonts w:ascii="Book Antiqua" w:eastAsia="Times New Roman" w:hAnsi="Book Antiqua"/>
          <w:i/>
          <w:sz w:val="24"/>
          <w:szCs w:val="24"/>
          <w:bdr w:val="none" w:sz="0" w:space="0" w:color="auto"/>
        </w:rPr>
        <w:t>Colaborar</w:t>
      </w:r>
      <w:r w:rsidRPr="00A4692E">
        <w:rPr>
          <w:rFonts w:ascii="Book Antiqua" w:eastAsia="Times New Roman" w:hAnsi="Book Antiqua"/>
          <w:sz w:val="24"/>
          <w:szCs w:val="24"/>
          <w:bdr w:val="none" w:sz="0" w:space="0" w:color="auto"/>
        </w:rPr>
        <w:t xml:space="preserve"> na avaliação de risco aquando da ocorrência de doenças emergentes ou de fenómenos inesperados de saúde;</w:t>
      </w:r>
    </w:p>
    <w:p w:rsidR="00CF00CA" w:rsidRPr="00CF00CA" w:rsidRDefault="00CF00CA" w:rsidP="00CF00CA">
      <w:pPr>
        <w:pStyle w:val="PargrafodaLista"/>
        <w:spacing w:after="0"/>
        <w:rPr>
          <w:rFonts w:ascii="Book Antiqua" w:eastAsia="Times New Roman" w:hAnsi="Book Antiqua"/>
          <w:sz w:val="24"/>
          <w:szCs w:val="24"/>
          <w:bdr w:val="none" w:sz="0" w:space="0" w:color="auto"/>
        </w:rPr>
      </w:pPr>
    </w:p>
    <w:p w:rsidR="001A097D" w:rsidRDefault="00402D0B" w:rsidP="00CF00CA">
      <w:pPr>
        <w:pStyle w:val="Pargrafoda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20"/>
        <w:jc w:val="both"/>
        <w:rPr>
          <w:rFonts w:ascii="Book Antiqua" w:eastAsia="Times New Roman" w:hAnsi="Book Antiqua"/>
          <w:sz w:val="24"/>
          <w:szCs w:val="24"/>
          <w:bdr w:val="none" w:sz="0" w:space="0" w:color="auto"/>
        </w:rPr>
      </w:pPr>
      <w:r w:rsidRPr="00A4692E">
        <w:rPr>
          <w:rFonts w:ascii="Book Antiqua" w:eastAsia="Times New Roman" w:hAnsi="Book Antiqua"/>
          <w:i/>
          <w:sz w:val="24"/>
          <w:szCs w:val="24"/>
          <w:bdr w:val="none" w:sz="0" w:space="0" w:color="auto"/>
        </w:rPr>
        <w:t>Promover</w:t>
      </w:r>
      <w:r w:rsidR="00811DCA">
        <w:rPr>
          <w:rFonts w:ascii="Book Antiqua" w:eastAsia="Times New Roman" w:hAnsi="Book Antiqua"/>
          <w:sz w:val="24"/>
          <w:szCs w:val="24"/>
          <w:bdr w:val="none" w:sz="0" w:space="0" w:color="auto"/>
        </w:rPr>
        <w:t xml:space="preserve"> </w:t>
      </w:r>
      <w:r w:rsidR="001A097D">
        <w:rPr>
          <w:rFonts w:ascii="Book Antiqua" w:eastAsia="Times New Roman" w:hAnsi="Book Antiqua"/>
          <w:sz w:val="24"/>
          <w:szCs w:val="24"/>
          <w:bdr w:val="none" w:sz="0" w:space="0" w:color="auto"/>
        </w:rPr>
        <w:t>parcerias para o fortalecimento dos sistemas</w:t>
      </w:r>
      <w:r w:rsidR="001A097D" w:rsidRPr="001A097D">
        <w:rPr>
          <w:rFonts w:ascii="Book Antiqua" w:eastAsia="Times New Roman" w:hAnsi="Book Antiqua"/>
          <w:sz w:val="24"/>
          <w:szCs w:val="24"/>
          <w:bdr w:val="none" w:sz="0" w:space="0" w:color="auto"/>
        </w:rPr>
        <w:t xml:space="preserve"> </w:t>
      </w:r>
      <w:r w:rsidR="001A097D">
        <w:rPr>
          <w:rFonts w:ascii="Book Antiqua" w:eastAsia="Times New Roman" w:hAnsi="Book Antiqua"/>
          <w:sz w:val="24"/>
          <w:szCs w:val="24"/>
          <w:bdr w:val="none" w:sz="0" w:space="0" w:color="auto"/>
        </w:rPr>
        <w:t xml:space="preserve">de </w:t>
      </w:r>
      <w:r w:rsidR="00CF00CA">
        <w:rPr>
          <w:rFonts w:ascii="Book Antiqua" w:eastAsia="Times New Roman" w:hAnsi="Book Antiqua"/>
          <w:sz w:val="24"/>
          <w:szCs w:val="24"/>
          <w:bdr w:val="none" w:sz="0" w:space="0" w:color="auto"/>
        </w:rPr>
        <w:t>vigilância</w:t>
      </w:r>
      <w:r w:rsidR="001A097D">
        <w:rPr>
          <w:rFonts w:ascii="Book Antiqua" w:eastAsia="Times New Roman" w:hAnsi="Book Antiqua"/>
          <w:sz w:val="24"/>
          <w:szCs w:val="24"/>
          <w:bdr w:val="none" w:sz="0" w:space="0" w:color="auto"/>
        </w:rPr>
        <w:t xml:space="preserve">, da </w:t>
      </w:r>
      <w:r w:rsidR="00CF00CA">
        <w:rPr>
          <w:rFonts w:ascii="Book Antiqua" w:eastAsia="Times New Roman" w:hAnsi="Book Antiqua"/>
          <w:sz w:val="24"/>
          <w:szCs w:val="24"/>
          <w:bdr w:val="none" w:sz="0" w:space="0" w:color="auto"/>
        </w:rPr>
        <w:t>deteção</w:t>
      </w:r>
      <w:r w:rsidR="001A097D">
        <w:rPr>
          <w:rFonts w:ascii="Book Antiqua" w:eastAsia="Times New Roman" w:hAnsi="Book Antiqua"/>
          <w:sz w:val="24"/>
          <w:szCs w:val="24"/>
          <w:bdr w:val="none" w:sz="0" w:space="0" w:color="auto"/>
        </w:rPr>
        <w:t xml:space="preserve"> precoce e resposta a </w:t>
      </w:r>
      <w:r w:rsidR="00CF00CA">
        <w:rPr>
          <w:rFonts w:ascii="Book Antiqua" w:eastAsia="Times New Roman" w:hAnsi="Book Antiqua"/>
          <w:sz w:val="24"/>
          <w:szCs w:val="24"/>
          <w:bdr w:val="none" w:sz="0" w:space="0" w:color="auto"/>
        </w:rPr>
        <w:t>emergências</w:t>
      </w:r>
      <w:r w:rsidR="001A097D">
        <w:rPr>
          <w:rFonts w:ascii="Book Antiqua" w:eastAsia="Times New Roman" w:hAnsi="Book Antiqua"/>
          <w:sz w:val="24"/>
          <w:szCs w:val="24"/>
          <w:bdr w:val="none" w:sz="0" w:space="0" w:color="auto"/>
        </w:rPr>
        <w:t xml:space="preserve"> de </w:t>
      </w:r>
      <w:r w:rsidR="00CF00CA">
        <w:rPr>
          <w:rFonts w:ascii="Book Antiqua" w:eastAsia="Times New Roman" w:hAnsi="Book Antiqua"/>
          <w:sz w:val="24"/>
          <w:szCs w:val="24"/>
          <w:bdr w:val="none" w:sz="0" w:space="0" w:color="auto"/>
        </w:rPr>
        <w:t>saúde</w:t>
      </w:r>
      <w:r w:rsidR="001A097D">
        <w:rPr>
          <w:rFonts w:ascii="Book Antiqua" w:eastAsia="Times New Roman" w:hAnsi="Book Antiqua"/>
          <w:sz w:val="24"/>
          <w:szCs w:val="24"/>
          <w:bdr w:val="none" w:sz="0" w:space="0" w:color="auto"/>
        </w:rPr>
        <w:t xml:space="preserve"> </w:t>
      </w:r>
      <w:r w:rsidR="00CF00CA">
        <w:rPr>
          <w:rFonts w:ascii="Book Antiqua" w:eastAsia="Times New Roman" w:hAnsi="Book Antiqua"/>
          <w:sz w:val="24"/>
          <w:szCs w:val="24"/>
          <w:bdr w:val="none" w:sz="0" w:space="0" w:color="auto"/>
        </w:rPr>
        <w:t>pública</w:t>
      </w:r>
      <w:r w:rsidR="001A097D">
        <w:rPr>
          <w:rFonts w:ascii="Book Antiqua" w:eastAsia="Times New Roman" w:hAnsi="Book Antiqua"/>
          <w:sz w:val="24"/>
          <w:szCs w:val="24"/>
          <w:bdr w:val="none" w:sz="0" w:space="0" w:color="auto"/>
        </w:rPr>
        <w:t>.</w:t>
      </w:r>
    </w:p>
    <w:p w:rsidR="00A4692E" w:rsidRDefault="00A4692E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lang w:val="pt-PT"/>
        </w:rPr>
      </w:pPr>
    </w:p>
    <w:p w:rsidR="00CF00CA" w:rsidRDefault="00CF00CA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lang w:val="pt-PT"/>
        </w:rPr>
      </w:pPr>
    </w:p>
    <w:p w:rsidR="00CF00CA" w:rsidRPr="00CF00CA" w:rsidRDefault="00CF00CA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lang w:val="pt-PT"/>
        </w:rPr>
      </w:pPr>
    </w:p>
    <w:p w:rsidR="00A4692E" w:rsidRPr="00A4692E" w:rsidRDefault="00A4692E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Times New Roman"/>
          <w:bdr w:val="none" w:sz="0" w:space="0" w:color="auto"/>
          <w:lang w:val="pt-PT" w:eastAsia="pt-PT"/>
        </w:rPr>
      </w:pPr>
      <w:r w:rsidRPr="00A4692E">
        <w:rPr>
          <w:rFonts w:eastAsia="Times New Roman"/>
          <w:i/>
          <w:bdr w:val="none" w:sz="0" w:space="0" w:color="auto"/>
          <w:lang w:val="pt-PT" w:eastAsia="pt-PT"/>
        </w:rPr>
        <w:t xml:space="preserve">Feita </w:t>
      </w:r>
      <w:r w:rsidRPr="00A4692E">
        <w:rPr>
          <w:rFonts w:eastAsia="Times New Roman"/>
          <w:bdr w:val="none" w:sz="0" w:space="0" w:color="auto"/>
          <w:lang w:val="pt-PT" w:eastAsia="pt-PT"/>
        </w:rPr>
        <w:t>em Maputo, a 12 de Fevereiro de 2014</w:t>
      </w:r>
    </w:p>
    <w:p w:rsidR="00A4692E" w:rsidRPr="00A4692E" w:rsidRDefault="00A4692E" w:rsidP="00A46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"/>
        <w:jc w:val="both"/>
        <w:rPr>
          <w:rFonts w:ascii="Book Antiqua" w:eastAsia="Times New Roman" w:hAnsi="Book Antiqua"/>
          <w:bdr w:val="none" w:sz="0" w:space="0" w:color="auto"/>
          <w:lang w:val="pt-PT"/>
        </w:rPr>
      </w:pPr>
    </w:p>
    <w:sectPr w:rsidR="00A4692E" w:rsidRPr="00A4692E" w:rsidSect="00B90393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D0B" w:rsidRDefault="00402D0B">
      <w:r>
        <w:separator/>
      </w:r>
    </w:p>
  </w:endnote>
  <w:endnote w:type="continuationSeparator" w:id="0">
    <w:p w:rsidR="00402D0B" w:rsidRDefault="0040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3F7" w:rsidRDefault="001273F7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D0B" w:rsidRDefault="00402D0B">
      <w:r>
        <w:separator/>
      </w:r>
    </w:p>
  </w:footnote>
  <w:footnote w:type="continuationSeparator" w:id="0">
    <w:p w:rsidR="00402D0B" w:rsidRDefault="00402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3F7" w:rsidRDefault="001273F7">
    <w:pPr>
      <w:pStyle w:val="Cabealhoerodap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5A3F"/>
    <w:multiLevelType w:val="multilevel"/>
    <w:tmpl w:val="F16A261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>
    <w:nsid w:val="237A499E"/>
    <w:multiLevelType w:val="multilevel"/>
    <w:tmpl w:val="D7DE0ECE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53C03866"/>
    <w:multiLevelType w:val="hybridMultilevel"/>
    <w:tmpl w:val="E4DE968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52BF2"/>
    <w:multiLevelType w:val="multilevel"/>
    <w:tmpl w:val="536CEB92"/>
    <w:styleLink w:val="List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75307A99"/>
    <w:multiLevelType w:val="hybridMultilevel"/>
    <w:tmpl w:val="296EB07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73F7"/>
    <w:rsid w:val="001273F7"/>
    <w:rsid w:val="001A097D"/>
    <w:rsid w:val="00402D0B"/>
    <w:rsid w:val="007F5D0F"/>
    <w:rsid w:val="00811DCA"/>
    <w:rsid w:val="00A4692E"/>
    <w:rsid w:val="00B90393"/>
    <w:rsid w:val="00CF00CA"/>
    <w:rsid w:val="00DF5E4E"/>
    <w:rsid w:val="00E3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0393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B90393"/>
    <w:rPr>
      <w:u w:val="single"/>
    </w:rPr>
  </w:style>
  <w:style w:type="table" w:customStyle="1" w:styleId="TableNormal1">
    <w:name w:val="Table Normal1"/>
    <w:rsid w:val="00B903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B90393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">
    <w:name w:val="Corpo"/>
    <w:rsid w:val="00B9039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grafodaLista">
    <w:name w:val="List Paragraph"/>
    <w:rsid w:val="00B90393"/>
    <w:pPr>
      <w:spacing w:after="200" w:line="276" w:lineRule="auto"/>
      <w:ind w:left="720"/>
    </w:pPr>
    <w:rPr>
      <w:rFonts w:ascii="Trebuchet MS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Estiloimportado1"/>
    <w:rsid w:val="00B90393"/>
    <w:pPr>
      <w:numPr>
        <w:numId w:val="3"/>
      </w:numPr>
    </w:pPr>
  </w:style>
  <w:style w:type="numbering" w:customStyle="1" w:styleId="Estiloimportado1">
    <w:name w:val="Estilo importado 1"/>
    <w:rsid w:val="00B90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grafodaLista">
    <w:name w:val="List Paragraph"/>
    <w:pPr>
      <w:spacing w:after="200" w:line="276" w:lineRule="auto"/>
      <w:ind w:left="720"/>
    </w:pPr>
    <w:rPr>
      <w:rFonts w:ascii="Trebuchet MS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Estiloimportado1"/>
    <w:pPr>
      <w:numPr>
        <w:numId w:val="3"/>
      </w:numPr>
    </w:pPr>
  </w:style>
  <w:style w:type="numbering" w:customStyle="1" w:styleId="Estiloimportado1">
    <w:name w:val="Estilo importado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Lapao</cp:lastModifiedBy>
  <cp:revision>6</cp:revision>
  <dcterms:created xsi:type="dcterms:W3CDTF">2014-02-10T23:15:00Z</dcterms:created>
  <dcterms:modified xsi:type="dcterms:W3CDTF">2014-02-11T13:54:00Z</dcterms:modified>
</cp:coreProperties>
</file>